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2023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0C6B57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0C6B57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0C6B57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11211231003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11211231003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VOLSCA AMBIENTE E SERVIZI SPA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fornitura di acqua; reti fognarie, attivitàdi gestione dei rifiuti e risanamento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Lazio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50 a 499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0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LUCA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CORI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 xml:space="preserve"> Quadro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>UOS Automezzi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22/01/2021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42B1BEA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  <w:r w:rsidR="00BC118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/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FDC87BE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27FC27B7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19826CDC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2AE6DB4F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1FC033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4A58CFBF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03CF318E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353FB9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>Per quanto riguarda le misure non attuate si evidenzia che:</w:t>
        <w:br/>
        <w:t>	-	Per 1 misure non sono state ancora avviate le attività, ma saranno avviate nei tempi previsti</w:t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Le misure atte a disciplinare e a sanzionare i comportamenti rilevanti ai fini della prevenzione della corruzione ai sensi della Legge n. 190/2012 sono state previste come integrazione del codice di comportamento/disciplinare e sono state adottare nel2016</w:t>
        <w:br/>
        <w:t/>
        <w:br/>
        <w:t>Gli atti di incarico e i relativi contratti, non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Il modello 231 ed il codice etico debbono essere implementati mentre il regolamento disciplinare è in corso di modifica</w:t>
        <w:br/>
        <w:t/>
        <w:br/>
        <w:t>È stata prevista una apposita procedura di rilevazione delle situazioni di conflitto di interessi potenziale o reale in particolare sono state effettuate le seguenti attività:</w:t>
        <w:br/>
        <w:t xml:space="preserve">  - acquisizione e conservazione delle dichiarazioni di insussistenza di situazioni di conflitto di interessi da parte dei dipendenti al momento dell’assegnazione all’ufficio o della nomina a RUP</w:t>
        <w:br/>
        <w:t xml:space="preserve">  - monitoraggio delle situazioni di conflitto di interessi, attraverso la richiesta ai dipendenti di aggiornare con cadenza periodica delle dichiarazioni</w:t>
        <w:br/>
        <w:t xml:space="preserve">  - esemplificazione di casistiche ricorrenti di situazioni di conflitto di interessi</w:t>
        <w:br/>
        <w:t xml:space="preserve">  - individuazione dei soggetti tenuti a ricevere e valutare le situazioni di conflitto di interessi</w:t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  <w:br/>
        <w:t xml:space="preserve">  - predisposizione di appositi moduli per agevolare la tempestiva presentazione della dichiarazione sulla sussistenza di situazioni di conflitto di interessi</w:t>
        <w:br/>
        <w:t xml:space="preserve">  - attività di sensibilizzazione del personale al rispetto di quanto previsto in materia dalla l. n. 241/1990 e dalle misure di comportamento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>Nel documento unitario che tiene luogo del PTPCT o nella sezione apposita del M.O.G. non è stata prevista la misura della Rotazione Ordinaria del Personale per le seguenti motivazioni: La Struttura di piccole dimensioni (per gli impiegati) vede poche risorse amministrative e quindi si è è optato per lo strumento della polifunzionalità e flessibilità mansionale</w:t>
      </w:r>
    </w:p>
    <w:p w14:paraId="72335899" w14:textId="4C42AF3B" w:rsidP="00050F7D" w:rsidR="00997BF2" w:rsidRDefault="00997BF2">
      <w:r>
        <w:t/>
      </w:r>
    </w:p>
    <w:p w14:paraId="35493B48" w14:textId="407CF617" w:rsidP="00050F7D" w:rsidR="00997BF2" w:rsidRDefault="00997BF2">
      <w:r>
        <w:t/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non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 documento unitario che tiene luogo del PTPCT o nella sezione apposita del M.O.G. si è scelto di non prevedere azioni e modalità organizzative relative alla Rotazione Straordinaria del Personale.</w:t>
        <w:br/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>Nel documento unitario che tiene luogo del PTPCT o nella sezione apposita del M.O.G. non sono previste misure ai sensi dell'art. 3 della L. n. 97/2001 per le seguenti motivazioni:Non Applicabile</w:t>
        <w:br/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5778DFBB" w14:textId="44C35BB7" w:rsidP="0083587B" w:rsidR="0069341C" w:rsidRDefault="0069341C">
      <w:r>
        <w:t/>
        <w:br/>
        <w:t/>
        <w:br/>
        <w:t xml:space="preserve">INCONFERIBILITÀ </w:t>
        <w:br/>
        <w:t>Nell'anno di riferimento delle misure di prevenzione della corruzione in esame, sono pervenute 12 dichiarazioni rese dagli interessati sull'insussistenza di cause di inconferibilità relative a 12 soggetti.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delle misure di prevenzione della corruzione in esame, sono pervenute 12 dichiarazioni rese dagli interessati sull'insussistenza di cause di inconferibilità relative a 12 soggetti.</w:t>
        <w:br/>
        <w:t>Non sono state effettuate verifiche sulla veridicità delle dichiarazioni rese dagli interessati sull'insussistenza di cause di inconferibilità.</w:t>
        <w:br/>
        <w:t/>
        <w:br/>
        <w:t xml:space="preserve">Nel documento unitario che tiene luogo del PTPCT o nella sezione apposita del M.O.G., nell'atto o regolamento adottato sulle misure di inconferibilità ed incompatibilità per incarichi dirigenziali ai sensi del D.lgs. 39/2013, non sono esplicitate le direttive per effettuare controlli sui precedenti penali, per le seguenti motivazioni: Trattasi di componenti del CdA aziendale nominati su proposta dell'Ente di Governo </w:t>
        <w:br/>
        <w:t/>
        <w:br/>
        <w:t>Nell'anno di riferimento delle misure di prevenzione della corruzione in esame, non sono stati effettuati controlli sulle dichiarazioni relative ai precedenti penali.</w:t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  <w:br/>
        <w:t xml:space="preserve">  - Email</w:t>
        <w:br/>
        <w:t xml:space="preserve">  - Sistema informativo dedicato con garanzia della riservatezza dell'identità del segnalante</w:t>
      </w:r>
    </w:p>
    <w:p w14:paraId="0602532A" w14:textId="7E002B3C" w:rsidP="00D352E2" w:rsidR="000076D6" w:rsidRDefault="000076D6">
      <w:r>
        <w:t/>
        <w:br/>
        <w:t>Possono effettuare le segnalazioni sia i dipendenti pubblici che gli altri soggetti assimilati a dipendenti pubblici quali ad esempio:</w:t>
        <w:br/>
        <w:t xml:space="preserve">  - consulenti</w:t>
        <w:br/>
        <w:t xml:space="preserve">  - collaboratori</w:t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>Nell'anno di riferimento delle misure di prevenzione della corruzione in esame, è stata erogata formazione in materia di prevenzione della corruzione e trasparenza</w:t>
      </w:r>
    </w:p>
    <w:p w14:paraId="49B92150" w14:textId="0BB61749" w:rsidP="00D352E2" w:rsidR="00945379" w:rsidRDefault="00945379">
      <w:r>
        <w:t/>
      </w:r>
    </w:p>
    <w:p w14:paraId="63A7F8D9" w14:textId="36B2978B" w:rsidP="00D352E2" w:rsidR="00945379" w:rsidRDefault="00945379">
      <w:r>
        <w:t/>
        <w:br/>
        <w:t>Non sono stati somministrati ai partecipanti presenti questionari finalizzati a misurare il loro livello di gradimento e/o apprendimento.</w:t>
      </w:r>
    </w:p>
    <w:p w14:paraId="7C6C7A0C" w14:textId="6D160980" w:rsidP="00D352E2" w:rsidR="00945379" w:rsidRDefault="00945379">
      <w:r>
        <w:t/>
        <w:br/>
        <w:t>La formazione è stata erogata da soggetti interni.</w:t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Nell'anno di riferimento delle misure di prevenzione della corruzione in esame, sono stati svolti monitoraggi sulla pubblicazione dei dati con periodicità trimestrale.</w:t>
        <w:br/>
        <w:t>I monitoraggi non hanno evidenziato irregolarità nella pubblicazione dei dati.</w:t>
      </w:r>
    </w:p>
    <w:p w14:paraId="1920DBD5" w14:textId="32892E43" w:rsidP="00D352E2" w:rsidR="006D748D" w:rsidRDefault="006D748D">
      <w:r>
        <w:t/>
        <w:br/>
        <w:t>La società/ente ha solo in parte realizzato l'informatizzazione del flusso per alimentare la pubblicazione dei dati nella sezione “Amministrazione/Società trasparente”.</w:t>
        <w:br/>
        <w:t/>
        <w:br/>
        <w:t>Il sito istituzionale, relativamente alla sezione "Amministrazione trasparente", non traccia il numero delle visite.</w:t>
        <w:br/>
        <w:t/>
        <w:br/>
        <w:t>La procedura per la gestione delle richieste di accesso civico “semplice”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 xml:space="preserve">  - Consegna a mano </w:t>
        <w:br/>
        <w:t/>
        <w:br/>
        <w:t>Nell’anno di riferimento delle misure di prevenzione della corruzione in esame non sono pervenute richieste di accesso civico "semplice".</w:t>
        <w:br/>
        <w:t/>
        <w:br/>
        <w:t>La procedura per la gestione delle richieste di accesso civico “generalizzato”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 xml:space="preserve">  - Consegna Cartacea in Ufficio</w:t>
        <w:br/>
        <w:t/>
        <w:br/>
        <w:t>Nell’anno di riferimento delle misure di prevenzione della corruzione in esame non sono pervenute richieste di accesso civico “generalizzato”.</w:t>
        <w:br/>
        <w:t/>
        <w:br/>
        <w:t>La procedura per la gestione delle richieste di accesso documentale ai sensi della legge n. 241/1990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 xml:space="preserve">  - Consegna Cartacea in Ufficio</w:t>
        <w:br/>
        <w:t/>
        <w:br/>
        <w:t>Nell’anno di riferimento delle misure di prevenzione della corruzione in esame, sono pervenute 1 richieste di accesso documentale che sono state evase con il seguente esito:</w:t>
        <w:br/>
        <w:t xml:space="preserve">  1  richieste con “informazione fornita all'utente”</w:t>
        <w:br/>
        <w:t xml:space="preserve">  0  richieste con “informazione non fornita all'utente”</w:t>
        <w:br/>
        <w:t/>
        <w:br/>
        <w:t>È stata adottata un'unica procedura per la disciplina organica e coordinata delle tre diverse tipologie di accesso: civico semplice, civico generalizzato, documentale ai sensi della legge n. 241/1990.</w:t>
        <w:br/>
        <w:t/>
        <w:br/>
        <w:t>È stato istituito il registro degli accessi ed è stata rispettata l'indicazione che prevede di riportare nel registro l'esito delle istanze</w:t>
        <w:br/>
        <w:t/>
        <w:br/>
        <w:t>In merito al livello di adempimento degli obblighi di trasparenza, si formula il seguente giudizio: Giudizio Ottimo. Non ci sono particolari impedimenti se non la vastità del tema trattato. L'assenza di richieste di accesso civico ci fa ritenere che la trasparenza amministrativa sia ben assolta</w:t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>La misura “Pantouflage”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</w:t>
        <w:br/>
        <w:t xml:space="preserve"> Non se ne è rilevata esigenza 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/>
        <w:br/>
        <w:t>La misura “Patti di Integrità”, pur essendo stata programmata nel documento unitario che tiene luogo del PTPCT o nella sezione apposita del M.O.I. di riferimento, non è stata ancora attuata, in particolare:  Non sono state ancora avviate le attività per la sua adozione, ma saranno avviate nei tempi previsti.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neutrale sulla qualità dei servizi</w:t>
        <w:br/>
        <w:t xml:space="preserve">  - neutrale sull'efficienza dei servizi (es. in termini di riduzione dei tempi di erogazione dei servizi)</w:t>
        <w:br/>
        <w:t xml:space="preserve">  - neutrale sul funzionamento della società/ente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neutrale su Nulla da indicare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>Nel documento unitario che tiene luogo del PTPCT o nella sezione apposita del M.O.G. in esame, non sono state programmate misure specifiche per le seguenti motivazioni:</w:t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Non si applica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54B15597" w14:textId="322D6583" w:rsidP="00A82AEF" w:rsidR="006E5641" w:rsidRDefault="006E5641"/>
    <w:p w14:paraId="129C1C66" w14:textId="65C5E141" w:rsidP="00A82AEF" w:rsidR="006E5641" w:rsidRDefault="006E5641">
      <w:r>
        <w:t/>
      </w:r>
    </w:p>
    <w:p w14:paraId="5352D731" w14:textId="24510ECB" w:rsidP="00A82AEF" w:rsidR="00B36318" w:rsidRDefault="00214959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 PTPCT, non sono pervenute segnalazioni per eventi corruttivi.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rimasta invariata in ragione di: La consapevolezza del fatto corruttivo asserisce alla sfera personale</w:t>
        <w:br/>
        <w:t xml:space="preserve">  - la capacità di individuare e far emergere situazioni di rischio corruttivo e di intervenire con adeguati rimedi è rimasta invariata in ragione di: Occorre aumentare i momenti di formazione e confronto</w:t>
        <w:br/>
        <w:t xml:space="preserve">  - la reputazione dell'ente è aumentata in ragione di: la specificità dell'azienda in house a controllo pubblico favorisce il processo identitario anche da parte dei cittadini (/utenti) oltre che dei singoli lavoratori che si trovano nella doppia veste di lavoratore ed utente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 PTPCT in esame non ci sono state denunce, riguardanti “eventi corruttivi”, a carico di dipendenti dell'amministrazione.</w:t>
        <w:br/>
        <w:t/>
        <w:br/>
        <w:t>Nell'anno di riferimento del PTPCT l’amministrazione non ha avuto notizia da parte di propri dipendenti di essere stati destinatari di un procedimento penale.</w:t>
        <w:br/>
        <w:t/>
        <w:br/>
        <w:t>Nell'anno di riferimento del PTPCT non è stata emessa nessuna sentenza di condanna non definitiva nei confronti di dipendenti dell'amministrazione.</w:t>
        <w:br/>
        <w:t/>
        <w:br/>
        <w:t>Nell'anno di riferimento del PTPCT non è stata emessa nessuna sentenza di condanna definitiva nei confronti di dipendenti dell'amministrazione.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 PTPCT non sono stati avviati procedimenti disciplinari riconducibili a eventi corruttivi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>Si ritiene che la messa in atto del processo di gestione del rischio abbia generato dentro l’organizzazione i seguenti effetti: medio per le seguenti ragioni: Le misure si ritengono correttamente implementate e recepite</w:t>
        <w:br/>
        <w:t/>
        <w:br/>
        <w:t>Si ritiene che l’idoneità complessiva della strategia di prevenzione della corruzione (definita attraverso una valutazione sintetica) con particolare riferimento alle misure previste nel Piano e attuate sia parzialmente idoneo per le seguenti ragioni: In valutazione introduzione  valutazione del modello 231</w:t>
        <w:br/>
        <w:t/>
        <w:br/>
        <w:t>Si ritiene che l'esercizio del ruolo di impulso e coordinamento del RPCT rispetto alla messa in atto del processo di gestione del rischio (definito attraverso una valutazione sintetica) sia stato parzialmente idoneo per le seguenti ragioni: Il RPCT è figura unica viste le ridotte dimensioni dell'azienda non esistono strutture di supporto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lastRenderedPageBreak/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Non sono state programmate misure specifiche di controllo.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Non sono state programmate misure specifiche di trasparenza.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Non sono state programmate misure specifiche di definizione e promozione dell’etica e di standard di comportamento.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Non sono state programmate misure specifiche di regolamentazione.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Non sono state programmate misure specifiche di formazione.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Non sono state programmate misure specifiche di disciplina del conflitto di interessi.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BE16" w14:textId="77777777" w:rsidR="000C6B57" w:rsidRDefault="000C6B57" w:rsidP="00424EBB">
      <w:r>
        <w:separator/>
      </w:r>
    </w:p>
  </w:endnote>
  <w:endnote w:type="continuationSeparator" w:id="0">
    <w:p w14:paraId="1C5BF670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3B9A0570" w14:textId="77777777" w:rsidP="00424EBB" w:rsidR="000C6B57" w:rsidRDefault="000C6B57">
      <w:r>
        <w:separator/>
      </w:r>
    </w:p>
  </w:footnote>
  <w:footnote w:id="0" w:type="continuationSeparator">
    <w:p w14:paraId="1481F6E5" w14:textId="77777777" w:rsidP="00424EBB" w:rsidR="000C6B57" w:rsidRDefault="000C6B57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3140</TotalTime>
  <Pages>9</Pages>
  <Words>1187</Words>
  <Characters>6767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2021-11-25T09:44:00Z</dcterms:modified>
  <cp:revision>55</cp:revision>
</cp:coreProperties>
</file>